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600" w:lineRule="exact"/>
        <w:jc w:val="both"/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>
      <w:pPr>
        <w:snapToGrid w:val="0"/>
        <w:spacing w:line="600" w:lineRule="exact"/>
        <w:jc w:val="both"/>
        <w:rPr>
          <w:rFonts w:ascii="方正仿宋_GBK" w:eastAsia="方正仿宋_GBK" w:cs="方正仿宋_GBK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2023年福建省新型农业经营主体培育</w:t>
      </w:r>
    </w:p>
    <w:p>
      <w:pPr>
        <w:snapToGrid w:val="0"/>
        <w:spacing w:line="600" w:lineRule="exact"/>
        <w:jc w:val="center"/>
        <w:rPr>
          <w:rFonts w:ascii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  <w:lang w:eastAsia="zh-CN"/>
        </w:rPr>
        <w:t>项目实施方案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方正黑体_GBK" w:eastAsia="方正黑体_GBK" w:cs="方正黑体_GBK" w:hint="eastAsia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黑体" w:eastAsia="黑体" w:cs="黑体" w:hint="eastAsia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黑体" w:eastAsia="黑体" w:cs="黑体" w:hint="eastAsia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一、任务目标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围绕新型农业经营主体生产经营能力提升，着力提高粮油新型经营主体单产水平，改善新型农业经营主体生产设施条件，建立健全新型农业经营主体指导服务体系，推进服务规范化便利化。全省支持农民合作社420个、家庭农场550个、奶业新型经营主体5个，通过项目实施，推动新型农业经营主体提升生产经营水平、增强服务带动能力，实现由量质并举向高质量发展转变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黑体" w:eastAsia="黑体" w:cs="黑体" w:hint="eastAsia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黑体" w:eastAsia="黑体" w:cs="黑体" w:hint="eastAsia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二、建设内容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仿宋_GB2312" w:eastAsia="仿宋_GB2312" w:cs="仿宋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（一）提升粮油新型经营主体单产能力。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支持2023年30个粮食产能区项目县、2022年13个油料播种面积万亩以上县的农民合作社示范社（以下简称示范社）、示范家庭农场，15个油菜试验示范县的农民合作社、家庭农场，</w:t>
      </w:r>
      <w:r>
        <w:rPr>
          <w:rFonts w:ascii="仿宋_GB2312" w:eastAsia="仿宋_GB2312" w:cs="仿宋_GB2312" w:hint="eastAsia"/>
          <w:sz w:val="32"/>
          <w:szCs w:val="32"/>
        </w:rPr>
        <w:t>集成应用新品种、新农药、新机具、新肥料、新技术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cs="仿宋_GB2312" w:hint="eastAsia"/>
          <w:sz w:val="32"/>
          <w:szCs w:val="32"/>
        </w:rPr>
        <w:t>开展生产集约化统一供种育苗、肥水管理、病虫防控、技术指导、机械作业（含深翻、播、插、防、收、烘等）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cs="仿宋_GB2312" w:hint="eastAsia"/>
          <w:sz w:val="32"/>
          <w:szCs w:val="32"/>
        </w:rPr>
        <w:t>开展品牌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创建与</w:t>
      </w:r>
      <w:r>
        <w:rPr>
          <w:rFonts w:ascii="仿宋_GB2312" w:eastAsia="仿宋_GB2312" w:cs="仿宋_GB2312" w:hint="eastAsia"/>
          <w:sz w:val="32"/>
          <w:szCs w:val="32"/>
        </w:rPr>
        <w:t>宣传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；积极参加或组织培训等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仿宋_GB2312" w:eastAsia="仿宋_GB2312" w:cs="仿宋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（二）改善新型农业经营主体生产设施条件。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支持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县级以上示范社和示范家庭农场，优先支持2022年评定的36个国家级示范社和174个省级示范社，开展生产基础设施、经营办公场所、农产品加工设施、销售平台等建设，推广应用新品种、新技术、新装备；打造品牌，推行食用农产品达标合格证与质量安全追溯制定；开展区域性、行业性联合与合作，推动社企对接，参加农产品销售对接等活动；参加生产技术和经营管理培训等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（三）推进新型农业经营主体质量提升重点县。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支持永泰、仙游、永春、诏安、长汀、宁化、建宁、延平、政和、福鼎、寿宁等11个县，根据本地特色主导产业发展情况选择1-2个主导产业开展主体质量提升。支持县级以上示范社和示范家庭农场（不少于36个）改善生产设施条件，应用先进技术，提高产品质量水平；开展区域性、行业性联合与合作，共享社会资源；加强品牌公益推介，利用好区域公用品牌，帮助更多主体获得授权使用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sz w:val="32"/>
          <w:szCs w:val="32"/>
          <w:lang w:eastAsia="zh-CN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（四）鼓励家庭农场组建农民合作社。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支持20个家庭农场组建农民合作社和1个家庭农场联盟，完善章程制度、健全组织机构、规范财务管理、合理分配盈余；开展生产基础设施、经营办公场所、农产品加工设施、销售平台建设，推广应用新品种、新技术、新装备等；制定统一生产标准、打造统一品牌授权家庭农场成员使用；对接周边市场、拓展销售渠道；</w:t>
      </w:r>
      <w:r>
        <w:rPr>
          <w:rFonts w:ascii="仿宋_GB2312" w:eastAsia="仿宋_GB2312" w:cs="仿宋_GB2312" w:hint="eastAsia"/>
          <w:sz w:val="32"/>
          <w:szCs w:val="32"/>
        </w:rPr>
        <w:t>开展统一生产经营服务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等。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（五）提升奶业主体生产经营能力。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支持5个奶业主体升级养殖设施装备，降低生产成本，推动奶牛单产提升，提高标准化、规模化、集约化生产水平，与现代奶业发展有机衔接。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（六）实施“千员带万社”活动。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支持闽侯等64个县聘任新型农业经营主体辅导员，对农民合作社、家庭农场提供点对点精准指导服务。支持连江等25个县创建新型农业经营主体服务中心，为新型农业经营主体提供技术指导、产业发展、财务管理、市场营销等服务。支持晋安等有新型经营主体县，对2022年底前注册登记的农民合作社、家庭农场进行信息采集录入，推动新型农业经营主体管理服务信息化，提升信息化管理水平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  <w:t>三、补助方式和标准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提升粮油新型经营主体单产能力、改善新型农业经营主体生产设施条件、推进新型农业经营主体质量提升重点县、鼓励家庭农场组建农民合作社、提升奶业主体生产经营能力等项目采取“先建后补”的补助方式，承担项目的国家级、省级示范社每个补助不超过30万元，设区市级、县级示范社每个补助不超过10万元；省级、设区市级、县级示范家庭农场每个补助不超过10万元。承担油菜试验示范的农民合作社、家庭农场每个补助资金10万元。承担提升奶业生产经营能力的主体每个补助30万元。家庭农场组建农民合作社、家庭农场联盟每个补助30万元。推进新型农业经营主体质量提升重点县每个县补助500万元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聘任新型农业经营辅导员采取“以奖代补”或“购买服务”的补助方式，每个辅导员补助不超过1万元。新型农业主体服务中心创建采取“购买服务”的补助方式，每个县补助30万元。新型农业经营主体信息采集录入采取“购买服务”的补助方式，每个主体信息采集录入补助不超过100元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Chars="200" w:firstLine="640"/>
        <w:jc w:val="both"/>
        <w:textAlignment w:val="auto"/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黑体" w:eastAsia="黑体" w:cs="黑体" w:hint="eastAsia"/>
          <w:kern w:val="2"/>
          <w:sz w:val="32"/>
          <w:szCs w:val="32"/>
          <w:shd w:val="clear" w:color="auto" w:fill="auto"/>
          <w:lang w:val="en-US" w:eastAsia="zh-CN" w:bidi="ar-SA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right="0" w:firstLineChars="200" w:firstLine="640"/>
        <w:textAlignment w:val="auto"/>
        <w:outlineLvl w:val="9"/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cs="楷体_GB2312" w:hint="eastAsia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（一）认真组织实施。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各项目县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（市、区）要将新型农业经营主体培育工作纳入重要议事日程，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切实加强组织领导，健全工作机制，为项目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实施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提供强有力的组织保障。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要立足于指导、服务、扶持、规范的工作思路，采取有效措施，抓好组织实施，推动新型农业经营主体提升生产经营水平、增强服务带动能力。</w:t>
      </w:r>
      <w:r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  <w:t>永泰、仙游、永春、诏安、长汀、宁化、建宁、延平、政和、福鼎、寿宁等11个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推进新型农业经营主体质量提升重点县，要制定具体项目实施方案报省农业农村厅审定。承担项目的新型农业经营主体均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 w:val="en-US" w:eastAsia="zh-CN" w:bidi="ar-SA"/>
        </w:rPr>
        <w:t>须按要求纳入项目库管理。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right="0" w:firstLineChars="200" w:firstLine="640"/>
        <w:textAlignment w:val="auto"/>
        <w:outlineLvl w:val="9"/>
        <w:rPr>
          <w:rFonts w:ascii="仿宋_GB2312" w:eastAsia="仿宋_GB2312" w:cs="仿宋_GB2312" w:hint="eastAsia"/>
          <w:sz w:val="32"/>
          <w:szCs w:val="32"/>
          <w:lang w:bidi="ar-SA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  <w:shd w:val="clear" w:color="auto" w:fill="auto"/>
        </w:rPr>
        <w:t>（</w:t>
      </w:r>
      <w:r>
        <w:rPr>
          <w:rFonts w:ascii="楷体_GB2312" w:eastAsia="楷体_GB2312" w:cs="楷体_GB2312" w:hint="eastAsia"/>
          <w:b/>
          <w:bCs/>
          <w:sz w:val="32"/>
          <w:szCs w:val="32"/>
          <w:shd w:val="clear" w:color="auto" w:fill="auto"/>
          <w:lang w:eastAsia="zh-CN"/>
        </w:rPr>
        <w:t>二</w:t>
      </w:r>
      <w:r>
        <w:rPr>
          <w:rFonts w:ascii="楷体_GB2312" w:eastAsia="楷体_GB2312" w:cs="楷体_GB2312" w:hint="eastAsia"/>
          <w:b/>
          <w:bCs/>
          <w:sz w:val="32"/>
          <w:szCs w:val="32"/>
          <w:shd w:val="clear" w:color="auto" w:fill="auto"/>
        </w:rPr>
        <w:t>）强化资金管理。</w:t>
      </w:r>
      <w:r>
        <w:rPr>
          <w:rFonts w:ascii="仿宋_GB2312" w:cs="仿宋_GB2312" w:hint="eastAsia"/>
          <w:sz w:val="32"/>
          <w:szCs w:val="32"/>
          <w:lang w:eastAsia="zh-CN" w:bidi="ar-SA"/>
        </w:rPr>
        <w:t>要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加强资金监管，跟踪掌握工作进度</w:t>
      </w:r>
      <w:r>
        <w:rPr>
          <w:rFonts w:ascii="仿宋_GB2312" w:cs="仿宋_GB2312" w:hint="eastAsia"/>
          <w:sz w:val="32"/>
          <w:szCs w:val="32"/>
          <w:lang w:eastAsia="zh-CN" w:bidi="ar-SA"/>
        </w:rPr>
        <w:t>，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及时拨付财政补助资金。强化对</w:t>
      </w:r>
      <w:r>
        <w:rPr>
          <w:rFonts w:ascii="仿宋_GB2312" w:cs="仿宋_GB2312" w:hint="eastAsia"/>
          <w:sz w:val="32"/>
          <w:szCs w:val="32"/>
          <w:lang w:eastAsia="zh-CN" w:bidi="ar-SA"/>
        </w:rPr>
        <w:t>项目承担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主体监督检查，设立专门举报电话，接受群众举报，发现问题及时整改。对骗取套取、挤占挪用项目资金的，除责令将资金归还原有渠道或收回财政外，依法依规严厉问责，严肃查处。</w:t>
      </w:r>
    </w:p>
    <w:p>
      <w:pPr>
        <w:pStyle w:val="17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Chars="200" w:firstLine="640"/>
        <w:jc w:val="both"/>
        <w:textAlignment w:val="auto"/>
        <w:rPr>
          <w:rFonts w:ascii="仿宋_GB2312" w:eastAsia="仿宋_GB2312" w:cs="仿宋_GB2312" w:hint="eastAsia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  <w:lang w:eastAsia="zh-CN"/>
        </w:rPr>
        <w:t>三</w:t>
      </w:r>
      <w:r>
        <w:rPr>
          <w:rFonts w:ascii="楷体_GB2312" w:eastAsia="楷体_GB2312" w:hint="eastAsia"/>
          <w:b/>
          <w:sz w:val="32"/>
          <w:szCs w:val="32"/>
        </w:rPr>
        <w:t>）落实绩效考评。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要认真开展项目绩效评价工作，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采取县级自评、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设区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市级复核方式。项目资金落实情况由设区市汇总后报送</w:t>
      </w:r>
      <w:r>
        <w:rPr>
          <w:rFonts w:ascii="仿宋_GB2312" w:eastAsia="仿宋_GB2312" w:cs="仿宋_GB2312" w:hint="eastAsia"/>
          <w:sz w:val="32"/>
          <w:szCs w:val="32"/>
          <w:lang w:val="en-US" w:eastAsia="zh-CN" w:bidi="ar-SA"/>
        </w:rPr>
        <w:t>省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农业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农村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厅。对绩效结果为优良的，在下年度项目安排时给予优先考虑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、</w:t>
      </w:r>
      <w:r>
        <w:rPr>
          <w:rFonts w:ascii="仿宋_GB2312" w:eastAsia="仿宋_GB2312" w:cs="仿宋_GB2312" w:hint="eastAsia"/>
          <w:sz w:val="32"/>
          <w:szCs w:val="32"/>
          <w:lang w:bidi="ar-SA"/>
        </w:rPr>
        <w:t>重点支持；对绩效差的则在全省范围内通报，</w:t>
      </w:r>
      <w:r>
        <w:rPr>
          <w:rFonts w:ascii="仿宋_GB2312" w:eastAsia="仿宋_GB2312" w:cs="仿宋_GB2312" w:hint="eastAsia"/>
          <w:sz w:val="32"/>
          <w:szCs w:val="32"/>
          <w:lang w:eastAsia="zh-CN" w:bidi="ar-SA"/>
        </w:rPr>
        <w:t>扣减相应项目资金安排。</w:t>
      </w:r>
    </w:p>
    <w:sectPr>
      <w:footerReference w:type="default" r:id="rId2"/>
      <w:pgSz w:w="11906" w:h="16838"/>
      <w:pgMar w:top="1984" w:right="1361" w:bottom="1417" w:left="1531" w:header="851" w:footer="992" w:gutter="0"/>
      <w:pgNumType w:start="3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1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8.999996pt;height:18.130003pt;z-index:10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 w:val="0"/>
  <w:bordersDoNotSurroundFooter w:val="0"/>
  <w:trackRevisions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ZTUwNjc0ZmRlMDc0MDFmYTBhNzMzM2VlMWUzMzRiY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Strong"/>
    <w:rPr>
      <w:b/>
    </w:rPr>
  </w:style>
  <w:style w:type="character" w:styleId="19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14136183</TotalTime>
  <Application>Yozo_Office</Application>
  <Pages>4</Pages>
  <Words>2104</Words>
  <Characters>2148</Characters>
  <Lines>87</Lines>
  <Paragraphs>19</Paragraphs>
  <CharactersWithSpaces>2148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张宜接</dc:creator>
  <cp:lastModifiedBy>Microsoft</cp:lastModifiedBy>
  <cp:revision>1</cp:revision>
  <cp:lastPrinted>2023-08-12T00:34:00Z</cp:lastPrinted>
  <dcterms:created xsi:type="dcterms:W3CDTF">2022-12-15T22:54:00Z</dcterms:created>
  <dcterms:modified xsi:type="dcterms:W3CDTF">2023-08-14T03:38:04Z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2052-11.8.2.10290</vt:lpwstr>
  </property>
</Properties>
</file>