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sz w:val="36"/>
          <w:lang w:val="en-US" w:eastAsia="zh-CN"/>
        </w:rPr>
      </w:pPr>
      <w:r>
        <w:rPr>
          <w:rFonts w:hint="eastAsia"/>
          <w:b/>
          <w:sz w:val="36"/>
        </w:rPr>
        <w:t>产品材料及配方</w:t>
      </w:r>
      <w:r>
        <w:rPr>
          <w:rFonts w:hint="eastAsia"/>
          <w:b/>
          <w:sz w:val="36"/>
          <w:lang w:val="en-US" w:eastAsia="zh-CN"/>
        </w:rPr>
        <w:t>(示范文本</w:t>
      </w: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）</w:t>
      </w:r>
    </w:p>
    <w:p>
      <w:pPr>
        <w:tabs>
          <w:tab w:val="left" w:pos="6300"/>
        </w:tabs>
        <w:spacing w:line="360" w:lineRule="auto"/>
        <w:ind w:right="-235"/>
        <w:rPr>
          <w:b/>
          <w:sz w:val="24"/>
        </w:rPr>
      </w:pPr>
      <w:r>
        <w:rPr>
          <w:rFonts w:hint="eastAsia"/>
          <w:b/>
          <w:sz w:val="24"/>
        </w:rPr>
        <w:t>一、产品功能：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以市政自来水为原水，经</w:t>
      </w:r>
      <w:r>
        <w:rPr>
          <w:rFonts w:hint="eastAsia"/>
          <w:sz w:val="24"/>
          <w:lang w:val="en-US" w:eastAsia="zh-CN"/>
        </w:rPr>
        <w:t>*******</w:t>
      </w:r>
      <w:r>
        <w:rPr>
          <w:rFonts w:hint="eastAsia"/>
          <w:sz w:val="24"/>
        </w:rPr>
        <w:t>反渗透净水器处理后，产水水质符合《生活饮用水水质处理器卫生安全与功能评价规范</w:t>
      </w:r>
      <w:r>
        <w:rPr>
          <w:sz w:val="24"/>
        </w:rPr>
        <w:t>—</w:t>
      </w:r>
      <w:r>
        <w:rPr>
          <w:rFonts w:hint="eastAsia" w:ascii="宋体"/>
          <w:sz w:val="24"/>
        </w:rPr>
        <w:t>反渗透处理装置</w:t>
      </w:r>
      <w:r>
        <w:rPr>
          <w:rFonts w:hint="eastAsia"/>
          <w:sz w:val="24"/>
        </w:rPr>
        <w:t>》（2001）的规定。</w:t>
      </w:r>
    </w:p>
    <w:p>
      <w:pPr>
        <w:pStyle w:val="8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执行标准号</w:t>
      </w:r>
      <w:r>
        <w:rPr>
          <w:rFonts w:hint="eastAsia" w:ascii="Times New Roman" w:hAnsi="Times New Roman" w:cs="宋体"/>
          <w:kern w:val="0"/>
          <w:sz w:val="24"/>
          <w:szCs w:val="24"/>
        </w:rPr>
        <w:t>：</w:t>
      </w:r>
      <w:r>
        <w:rPr>
          <w:rFonts w:hint="eastAsia" w:ascii="Times New Roman" w:cs="Calibri"/>
          <w:sz w:val="24"/>
          <w:szCs w:val="24"/>
          <w:lang w:val="en-US" w:eastAsia="zh-CN" w:bidi="ar-SA"/>
        </w:rPr>
        <w:t>******</w:t>
      </w:r>
      <w:r>
        <w:rPr>
          <w:rFonts w:hint="eastAsia" w:ascii="Times New Roman" w:hAnsi="Times New Roman" w:cs="Calibri"/>
          <w:sz w:val="24"/>
          <w:szCs w:val="24"/>
          <w:lang w:bidi="ar-SA"/>
        </w:rPr>
        <w:t xml:space="preserve"> 001-2020《反渗透净水器》</w:t>
      </w:r>
    </w:p>
    <w:p>
      <w:pPr>
        <w:pStyle w:val="8"/>
        <w:spacing w:line="360" w:lineRule="auto"/>
        <w:rPr>
          <w:sz w:val="24"/>
        </w:rPr>
      </w:pPr>
      <w:r>
        <w:rPr>
          <w:rFonts w:hint="eastAsia"/>
          <w:b/>
          <w:sz w:val="24"/>
        </w:rPr>
        <w:t>二、水处理工艺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</w:p>
    <w:p>
      <w:pPr>
        <w:tabs>
          <w:tab w:val="left" w:pos="6300"/>
        </w:tabs>
        <w:spacing w:line="360" w:lineRule="auto"/>
        <w:ind w:left="819" w:leftChars="40" w:right="-235" w:hanging="735" w:hangingChars="350"/>
        <w:jc w:val="left"/>
        <w:rPr>
          <w:sz w:val="24"/>
        </w:rPr>
      </w:pP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144145</wp:posOffset>
                </wp:positionV>
                <wp:extent cx="425450" cy="0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49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margin-left:345.6pt;margin-top:11.35pt;height:0pt;width:33.5pt;z-index:1024;mso-width-relative:page;mso-height-relative:page;" filled="f" stroked="t" coordsize="21600,21600" o:gfxdata="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JnnizYAAAACQEAAA8AAAAAAAAAAQAg&#10;AAAAIgAAAGRycy9kb3ducmV2LnhtbFBLAQIUABQAAAAIAIdO4kAZtYniDgIAAPw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433070</wp:posOffset>
                </wp:positionV>
                <wp:extent cx="510540" cy="3721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废水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84.85pt;margin-top:34.1pt;height:29.3pt;width:40.2pt;z-index:1024;mso-width-relative:page;mso-height-relative:page;" fillcolor="#FFFFFF" filled="t" stroked="f" coordsize="21600,21600" o:gfxdata="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Ak+G2AAAAAoBAAAPAAAAAAAAAAEAIAAAACIAAABkcnMv&#10;ZG93bnJldi54bWxQSwECFAAUAAAACACHTuJAPbBDsAMCAADhAwAADgAAAAAAAAABACAAAAAnAQAA&#10;ZHJzL2Uyb0RvYy54bWxQSwUGAAAAAAYABgBZAQAAnAUAAAAA&#10;">
                <v:fill on="t" focussize="0,0"/>
                <v:stroke on="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废水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250190</wp:posOffset>
                </wp:positionV>
                <wp:extent cx="0" cy="17018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03.15pt;margin-top:19.7pt;height:13.4pt;width:0pt;z-index:1024;mso-width-relative:page;mso-height-relative:page;" filled="f" stroked="t" coordsize="21600,21600" o:gfxdata="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EnaO2AAAAAkBAAAPAAAAAAAAAAEA&#10;IAAAACIAAABkcnMvZG93bnJldi54bWxQSwECFAAUAAAACACHTuJA0wgQMw8CAAD8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433070</wp:posOffset>
                </wp:positionV>
                <wp:extent cx="228600" cy="0"/>
                <wp:effectExtent l="0" t="0" r="0" b="0"/>
                <wp:wrapNone/>
                <wp:docPr id="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99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0.45pt;margin-top:34.1pt;height:0pt;width:18pt;z-index:1024;mso-width-relative:page;mso-height-relative:page;" filled="f" stroked="t" coordsize="21600,21600" o:gfxdata="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F23YV1QAAAAcBAAAPAAAAAAAAAAEAIAAA&#10;ACIAAABkcnMvZG93bnJldi54bWxQSwECFAAUAAAACACHTuJA39mZcQ8CAAD8AwAADgAAAAAAAAAB&#10;ACAAAAAk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144145</wp:posOffset>
                </wp:positionV>
                <wp:extent cx="325755" cy="0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49.55pt;margin-top:11.35pt;height:0pt;width:25.65pt;z-index:1024;mso-width-relative:page;mso-height-relative:page;" filled="f" stroked="t" coordsize="21600,21600" o:gfxdata="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mG8VV2gAAAAkBAAAPAAAAAAAA&#10;AAEAIAAAACIAAABkcnMvZG93bnJldi54bWxQSwECFAAUAAAACACHTuJAevB14xACAAD+AwAADgAA&#10;AAAAAAABACAAAAAp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144145</wp:posOffset>
                </wp:positionV>
                <wp:extent cx="228600" cy="0"/>
                <wp:effectExtent l="0" t="0" r="0" b="0"/>
                <wp:wrapNone/>
                <wp:docPr id="1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6.95pt;margin-top:11.35pt;height:0pt;width:18pt;z-index:1024;mso-width-relative:page;mso-height-relative:page;" filled="f" stroked="t" coordsize="21600,21600" o:gfxdata="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EmFTtUAAAAHAQAADwAAAAAAAAABACAA&#10;AAAiAAAAZHJzL2Rvd25yZXYueG1sUEsBAhQAFAAAAAgAh07iQPz3yDQQAgAA/gMAAA4AAAAAAAAA&#10;AQAgAAAAJ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原水   复合滤芯（PP滤芯+压缩活性炭滤芯）     反渗透滤芯       压缩活性炭滤芯    纯水                                     </w:t>
      </w:r>
    </w:p>
    <w:p>
      <w:pPr>
        <w:tabs>
          <w:tab w:val="left" w:pos="6300"/>
        </w:tabs>
        <w:spacing w:line="360" w:lineRule="auto"/>
        <w:ind w:right="-235"/>
        <w:rPr>
          <w:b/>
          <w:sz w:val="24"/>
        </w:rPr>
      </w:pPr>
      <w:r>
        <w:rPr>
          <w:rFonts w:hint="eastAsia"/>
          <w:b/>
          <w:sz w:val="24"/>
        </w:rPr>
        <w:t>三、与水接触的零部件及所用的材料：</w:t>
      </w:r>
    </w:p>
    <w:tbl>
      <w:tblPr>
        <w:tblStyle w:val="16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88"/>
        <w:gridCol w:w="3992"/>
        <w:gridCol w:w="840"/>
        <w:gridCol w:w="1155"/>
        <w:gridCol w:w="734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零件名称</w:t>
            </w:r>
          </w:p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</w:t>
            </w:r>
            <w:r>
              <w:rPr>
                <w:rFonts w:ascii="宋体"/>
                <w:sz w:val="18"/>
                <w:szCs w:val="18"/>
              </w:rPr>
              <w:t>棉炭棒</w:t>
            </w:r>
            <w:r>
              <w:rPr>
                <w:rFonts w:hint="eastAsia" w:ascii="宋体"/>
                <w:sz w:val="18"/>
                <w:szCs w:val="18"/>
              </w:rPr>
              <w:t>复合滤芯</w:t>
            </w:r>
          </w:p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聚丙烯滤壳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φ9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mm×36</w:t>
            </w:r>
            <w:r>
              <w:rPr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聚丙烯</w:t>
            </w:r>
          </w:p>
        </w:tc>
        <w:tc>
          <w:tcPr>
            <w:tcW w:w="6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2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1套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PP棉滤芯：外径φ65mm，内径φ4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mm</w:t>
            </w:r>
          </w:p>
          <w:p>
            <w:pPr>
              <w:spacing w:line="280" w:lineRule="exact"/>
              <w:ind w:right="-113" w:firstLine="900" w:firstLineChars="5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长度263mm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孔径：10μm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聚丙烯</w:t>
            </w: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压缩活性炭棒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φ43.5mm×263mm</w:t>
            </w:r>
          </w:p>
          <w:p>
            <w:pPr>
              <w:spacing w:line="280" w:lineRule="exact"/>
              <w:ind w:left="0" w:firstLine="1260" w:firstLineChars="7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精度5μm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碘吸附值≥1050mg/g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3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活性炭</w:t>
            </w: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聚丙烯端盖：上：φ69mm×32.5mm</w:t>
            </w:r>
          </w:p>
          <w:p>
            <w:pPr>
              <w:spacing w:line="280" w:lineRule="exact"/>
              <w:ind w:firstLine="1080" w:firstLineChars="6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下：φ77.2mm×39.5mm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聚丙烯</w:t>
            </w: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宋体" w:cs="宋体"/>
                <w:sz w:val="18"/>
                <w:szCs w:val="18"/>
                <w:lang w:bidi="ar-SA"/>
              </w:rPr>
            </w:pPr>
            <w:r>
              <w:rPr>
                <w:rFonts w:hint="eastAsia"/>
                <w:sz w:val="18"/>
                <w:szCs w:val="18"/>
              </w:rPr>
              <w:t>聚丙烯滤壳：</w:t>
            </w:r>
            <w:r>
              <w:rPr>
                <w:rFonts w:hint="eastAsia" w:ascii="宋体" w:cs="宋体"/>
                <w:sz w:val="18"/>
                <w:szCs w:val="18"/>
                <w:lang w:bidi="ar-SA"/>
              </w:rPr>
              <w:t>Φ1</w:t>
            </w:r>
            <w:r>
              <w:rPr>
                <w:rFonts w:ascii="宋体" w:cs="宋体"/>
                <w:sz w:val="18"/>
                <w:szCs w:val="18"/>
                <w:lang w:bidi="ar-SA"/>
              </w:rPr>
              <w:t>03</w:t>
            </w:r>
            <w:r>
              <w:rPr>
                <w:rFonts w:hint="eastAsia" w:ascii="宋体" w:cs="宋体"/>
                <w:sz w:val="18"/>
                <w:szCs w:val="18"/>
                <w:lang w:bidi="ar-SA"/>
              </w:rPr>
              <w:t>mm×</w:t>
            </w:r>
            <w:r>
              <w:rPr>
                <w:rFonts w:ascii="宋体" w:cs="宋体"/>
                <w:sz w:val="18"/>
                <w:szCs w:val="18"/>
                <w:lang w:bidi="ar-SA"/>
              </w:rPr>
              <w:t>361.5</w:t>
            </w:r>
            <w:r>
              <w:rPr>
                <w:rFonts w:hint="eastAsia" w:ascii="宋体" w:cs="宋体"/>
                <w:sz w:val="18"/>
                <w:szCs w:val="18"/>
                <w:lang w:bidi="ar-SA"/>
              </w:rPr>
              <w:t>mm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聚丙烯</w:t>
            </w:r>
          </w:p>
        </w:tc>
        <w:tc>
          <w:tcPr>
            <w:tcW w:w="6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1支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left"/>
              <w:rPr>
                <w:rFonts w:hint="eastAsia" w:ascii="宋体" w:cs="宋体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</w:rPr>
              <w:t>反渗透膜：</w:t>
            </w: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rFonts w:hint="eastAsia" w:ascii="宋体" w:cs="宋体"/>
                <w:sz w:val="18"/>
                <w:szCs w:val="18"/>
                <w:lang w:bidi="ar-SA"/>
              </w:rPr>
              <w:t>φ74mm×276mm</w:t>
            </w:r>
          </w:p>
          <w:p>
            <w:pPr>
              <w:spacing w:line="280" w:lineRule="exact"/>
              <w:ind w:firstLine="630" w:firstLineChars="35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孔径：0.0001μm</w:t>
            </w:r>
            <w:r>
              <w:rPr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膜面积</w:t>
            </w:r>
            <w:r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cs="宋体"/>
                <w:sz w:val="18"/>
                <w:szCs w:val="18"/>
                <w:lang w:bidi="ar-SA"/>
              </w:rPr>
              <w:t>1.</w:t>
            </w:r>
            <w:r>
              <w:rPr>
                <w:rFonts w:ascii="宋体" w:cs="宋体"/>
                <w:sz w:val="18"/>
                <w:szCs w:val="18"/>
                <w:lang w:bidi="ar-SA"/>
              </w:rPr>
              <w:t>778</w:t>
            </w:r>
            <w:r>
              <w:rPr>
                <w:rFonts w:hint="eastAsia" w:ascii="宋体" w:cs="宋体"/>
                <w:sz w:val="18"/>
                <w:szCs w:val="18"/>
                <w:lang w:bidi="ar-SA"/>
              </w:rPr>
              <w:t>㎡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聚酰胺</w:t>
            </w:r>
          </w:p>
        </w:tc>
        <w:tc>
          <w:tcPr>
            <w:tcW w:w="9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聚丙烯滤壳：Φ6</w:t>
            </w:r>
            <w:r>
              <w:rPr>
                <w:sz w:val="18"/>
                <w:szCs w:val="18"/>
              </w:rPr>
              <w:t>4.5</w:t>
            </w:r>
            <w:r>
              <w:rPr>
                <w:rFonts w:hint="eastAsia"/>
                <w:sz w:val="18"/>
                <w:szCs w:val="18"/>
              </w:rPr>
              <w:t>mm×36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.5mm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聚丙烯</w:t>
            </w:r>
          </w:p>
        </w:tc>
        <w:tc>
          <w:tcPr>
            <w:tcW w:w="6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1支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压缩活性炭：Φ43.5</w:t>
            </w:r>
            <w:r>
              <w:rPr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×177</w:t>
            </w:r>
            <w:r>
              <w:rPr>
                <w:sz w:val="18"/>
                <w:szCs w:val="18"/>
              </w:rPr>
              <w:t>mm</w:t>
            </w:r>
          </w:p>
          <w:p>
            <w:pPr>
              <w:spacing w:line="280" w:lineRule="exact"/>
              <w:ind w:firstLine="1080" w:firstLineChars="6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孔径：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sz w:val="18"/>
                <w:szCs w:val="18"/>
              </w:rPr>
              <w:t>m，</w:t>
            </w:r>
            <w:r>
              <w:rPr>
                <w:rFonts w:hint="eastAsia"/>
                <w:sz w:val="18"/>
                <w:szCs w:val="18"/>
              </w:rPr>
              <w:t>碘吸附值1050mg/g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活性炭</w:t>
            </w: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聚丙烯端盖：上：</w:t>
            </w:r>
            <w:r>
              <w:rPr>
                <w:rFonts w:hint="eastAsia" w:ascii="宋体"/>
                <w:sz w:val="18"/>
                <w:szCs w:val="18"/>
              </w:rPr>
              <w:t>φ50mm×30mm</w:t>
            </w:r>
          </w:p>
          <w:p>
            <w:pPr>
              <w:spacing w:line="280" w:lineRule="exact"/>
              <w:ind w:left="0" w:firstLine="1080" w:firstLineChars="6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下：</w:t>
            </w:r>
            <w:r>
              <w:rPr>
                <w:rFonts w:hint="eastAsia" w:ascii="宋体"/>
                <w:sz w:val="18"/>
                <w:szCs w:val="18"/>
              </w:rPr>
              <w:t>φ50mm×15mm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聚丙烯</w:t>
            </w:r>
          </w:p>
        </w:tc>
        <w:tc>
          <w:tcPr>
            <w:tcW w:w="9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2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BL09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POM+</w:t>
            </w:r>
            <w:r>
              <w:rPr>
                <w:rFonts w:hint="eastAsia"/>
                <w:sz w:val="18"/>
                <w:szCs w:val="18"/>
              </w:rPr>
              <w:t>不锈钢</w:t>
            </w:r>
          </w:p>
        </w:tc>
        <w:tc>
          <w:tcPr>
            <w:tcW w:w="62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13"/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1支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年</w:t>
            </w:r>
          </w:p>
        </w:tc>
      </w:tr>
    </w:tbl>
    <w:p>
      <w:pPr>
        <w:jc w:val="left"/>
        <w:rPr>
          <w:rFonts w:ascii="仿宋_GB2312" w:hAnsi="仿宋_GB2312"/>
          <w:color w:val="000000"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 w:ascii="仿宋_GB2312" w:hAnsi="仿宋_GB2312"/>
          <w:color w:val="000000"/>
          <w:sz w:val="24"/>
        </w:rPr>
        <w:t>注：</w:t>
      </w:r>
      <w:r>
        <w:rPr>
          <w:rFonts w:hint="eastAsia" w:ascii="宋体"/>
          <w:sz w:val="24"/>
        </w:rPr>
        <w:t>A系列申报，所有型号产品水接触的主要材质、用量和使用年限完全相同，仅外观不同。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四、适用水质范围：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适用水质：市政自来水。</w:t>
      </w:r>
    </w:p>
    <w:p>
      <w:pPr>
        <w:pStyle w:val="8"/>
        <w:rPr>
          <w:sz w:val="24"/>
          <w:szCs w:val="24"/>
        </w:rPr>
      </w:pPr>
      <w:r>
        <w:rPr>
          <w:rFonts w:hint="eastAsia"/>
          <w:sz w:val="24"/>
          <w:szCs w:val="24"/>
        </w:rPr>
        <w:t>出水水质:符合《生活饮用水水质处理器卫生安全与功能评价规范</w:t>
      </w:r>
      <w:r>
        <w:rPr>
          <w:sz w:val="24"/>
          <w:szCs w:val="24"/>
        </w:rPr>
        <w:t>—</w:t>
      </w:r>
      <w:r>
        <w:rPr>
          <w:rFonts w:hint="eastAsia"/>
          <w:sz w:val="24"/>
        </w:rPr>
        <w:t>反渗透处理装置</w:t>
      </w:r>
      <w:r>
        <w:rPr>
          <w:rFonts w:hint="eastAsia"/>
          <w:sz w:val="24"/>
          <w:szCs w:val="24"/>
        </w:rPr>
        <w:t>》（2001）的规定。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五、技术参数：</w:t>
      </w:r>
    </w:p>
    <w:tbl>
      <w:tblPr>
        <w:tblStyle w:val="16"/>
        <w:tblW w:w="50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40"/>
        <w:gridCol w:w="944"/>
        <w:gridCol w:w="1050"/>
        <w:gridCol w:w="1050"/>
        <w:gridCol w:w="944"/>
        <w:gridCol w:w="2155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36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净水流量</w:t>
            </w:r>
          </w:p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L/min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额定总净水量m</w:t>
            </w:r>
            <w:r>
              <w:rPr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进水压力MPa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工作压力</w:t>
            </w:r>
          </w:p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MPa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净水产水率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差异描述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整机尺寸(mm)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0.1-0.4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0.45-0.7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白色侧板，白色支架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450×420×130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0.1-0.4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0.45-0.7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冷灰侧板，白色支架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450×420×130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0.1-0.4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0.45-0.7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香槟金侧板，白色支架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450×420×130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0.1-0.4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0.45-0.7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香槟金侧板，香槟金支架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450×420×130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0.1-0.4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0.45-0.7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冷灰侧板，冷灰支架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450×420×130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0.1-0.4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0.45-0.7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白色侧板，冷灰支架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450×420×130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0.1-0.4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0.45-0.7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棕色侧板，黑色支架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450×420×130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6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******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0.1-0.4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0.45-0.7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银色侧板，白色支架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450×420×130</w:t>
            </w:r>
          </w:p>
        </w:tc>
      </w:tr>
    </w:tbl>
    <w:p>
      <w:pPr>
        <w:tabs>
          <w:tab w:val="left" w:pos="1710"/>
        </w:tabs>
        <w:spacing w:line="36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六、产品结构图：</w:t>
      </w:r>
    </w:p>
    <w:p>
      <w:pPr>
        <w:spacing w:line="360" w:lineRule="auto"/>
        <w:rPr>
          <w:b/>
          <w:sz w:val="24"/>
        </w:rPr>
      </w:pPr>
      <w:r>
        <w:drawing>
          <wp:inline distT="0" distB="0" distL="0" distR="0">
            <wp:extent cx="3924300" cy="25133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40" cy="251370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077" w:right="1416" w:bottom="1021" w:left="141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6F1227A"/>
    <w:rsid w:val="4A803875"/>
    <w:rsid w:val="662D2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 w:val="0"/>
      <w:ind w:firstLine="525" w:firstLineChars="525"/>
      <w:outlineLvl w:val="0"/>
    </w:pPr>
    <w:rPr>
      <w:u w:val="single"/>
    </w:rPr>
  </w:style>
  <w:style w:type="paragraph" w:styleId="3">
    <w:name w:val="heading 2"/>
    <w:basedOn w:val="1"/>
    <w:next w:val="4"/>
    <w:uiPriority w:val="0"/>
    <w:pPr>
      <w:keepNext/>
      <w:keepLines/>
      <w:widowControl w:val="0"/>
      <w:spacing w:before="120" w:after="120" w:line="360" w:lineRule="auto"/>
      <w:outlineLvl w:val="1"/>
    </w:pPr>
    <w:rPr>
      <w:rFonts w:ascii="Arial" w:hAnsi="Arial" w:eastAsia="黑体"/>
      <w:b/>
      <w:sz w:val="28"/>
      <w:szCs w:val="20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6">
    <w:name w:val="Body Text"/>
    <w:basedOn w:val="1"/>
    <w:qFormat/>
    <w:uiPriority w:val="0"/>
    <w:rPr>
      <w:sz w:val="24"/>
    </w:r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8">
    <w:name w:val="Plain Text"/>
    <w:basedOn w:val="1"/>
    <w:qFormat/>
    <w:uiPriority w:val="0"/>
    <w:rPr>
      <w:rFonts w:ascii="宋体"/>
      <w:szCs w:val="21"/>
    </w:rPr>
  </w:style>
  <w:style w:type="paragraph" w:styleId="9">
    <w:name w:val="Date"/>
    <w:basedOn w:val="1"/>
    <w:next w:val="1"/>
    <w:qFormat/>
    <w:uiPriority w:val="0"/>
    <w:pPr>
      <w:spacing w:line="360" w:lineRule="auto"/>
      <w:ind w:firstLine="510"/>
    </w:pPr>
    <w:rPr>
      <w:sz w:val="24"/>
      <w:szCs w:val="20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Emphasis"/>
    <w:qFormat/>
    <w:uiPriority w:val="0"/>
    <w:rPr>
      <w:i/>
      <w:iCs/>
    </w:rPr>
  </w:style>
  <w:style w:type="character" w:styleId="20">
    <w:name w:val="HTML Typewriter"/>
    <w:qFormat/>
    <w:uiPriority w:val="0"/>
    <w:rPr>
      <w:rFonts w:ascii="宋体" w:eastAsia="宋体" w:cs="宋体"/>
      <w:sz w:val="18"/>
      <w:szCs w:val="18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footnote reference"/>
    <w:uiPriority w:val="0"/>
    <w:rPr>
      <w:vertAlign w:val="superscript"/>
    </w:rPr>
  </w:style>
  <w:style w:type="paragraph" w:customStyle="1" w:styleId="23">
    <w:name w:val="List Paragraph"/>
    <w:basedOn w:val="1"/>
    <w:qFormat/>
    <w:uiPriority w:val="0"/>
    <w:pPr>
      <w:ind w:firstLine="200" w:firstLineChars="200"/>
    </w:pPr>
  </w:style>
  <w:style w:type="paragraph" w:customStyle="1" w:styleId="24">
    <w:name w:val="列出段落1"/>
    <w:basedOn w:val="1"/>
    <w:qFormat/>
    <w:uiPriority w:val="0"/>
    <w:pPr>
      <w:ind w:firstLine="200" w:firstLineChars="200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724</Words>
  <Characters>1225</Characters>
  <Lines>174</Lines>
  <Paragraphs>141</Paragraphs>
  <TotalTime>2</TotalTime>
  <ScaleCrop>false</ScaleCrop>
  <LinksUpToDate>false</LinksUpToDate>
  <CharactersWithSpaces>1283</CharactersWithSpaces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2018-09-07T01:52:00Z</dcterms:created>
  <dc:creator>hy</dc:creator>
  <cp:lastModifiedBy>冰凌</cp:lastModifiedBy>
  <cp:lastPrinted>2020-04-12T02:40:00Z</cp:lastPrinted>
  <dcterms:modified xsi:type="dcterms:W3CDTF">2020-07-23T03:59:00Z</dcterms:modified>
  <dc:title>健康相关产品生产企业卫生条件审核申请表</dc:title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